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50" w:rsidRDefault="00EE7E27" w:rsidP="00324CD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Assessment for</w:t>
      </w:r>
      <w:r w:rsidR="00324CDA" w:rsidRPr="00362D45">
        <w:rPr>
          <w:b/>
          <w:sz w:val="28"/>
          <w:szCs w:val="28"/>
          <w:lang w:val="en-US"/>
        </w:rPr>
        <w:t xml:space="preserve"> Assistant Professorship</w:t>
      </w:r>
      <w:r>
        <w:rPr>
          <w:b/>
          <w:sz w:val="28"/>
          <w:szCs w:val="28"/>
          <w:lang w:val="en-US"/>
        </w:rPr>
        <w:t xml:space="preserve"> -</w:t>
      </w:r>
      <w:r w:rsidR="00324CDA">
        <w:rPr>
          <w:b/>
          <w:sz w:val="28"/>
          <w:szCs w:val="28"/>
          <w:lang w:val="en-US"/>
        </w:rPr>
        <w:t xml:space="preserve"> </w:t>
      </w:r>
      <w:r w:rsidR="00453FAD">
        <w:rPr>
          <w:b/>
          <w:sz w:val="28"/>
          <w:szCs w:val="28"/>
          <w:lang w:val="en-US"/>
        </w:rPr>
        <w:t>International</w:t>
      </w:r>
      <w:r w:rsidR="00324CDA">
        <w:rPr>
          <w:b/>
          <w:sz w:val="28"/>
          <w:szCs w:val="28"/>
          <w:lang w:val="en-US"/>
        </w:rPr>
        <w:t xml:space="preserve"> Faculty</w:t>
      </w:r>
      <w:r w:rsidR="00453FAD">
        <w:rPr>
          <w:b/>
          <w:sz w:val="28"/>
          <w:szCs w:val="28"/>
          <w:lang w:val="en-US"/>
        </w:rPr>
        <w:t xml:space="preserve"> Members</w:t>
      </w:r>
    </w:p>
    <w:p w:rsidR="006C29D8" w:rsidRDefault="006C29D8" w:rsidP="0053610F">
      <w:pPr>
        <w:jc w:val="both"/>
        <w:rPr>
          <w:lang w:val="en-US"/>
        </w:rPr>
      </w:pPr>
      <w:r>
        <w:rPr>
          <w:lang w:val="en-US"/>
        </w:rPr>
        <w:t>With the University Senate Decision</w:t>
      </w:r>
      <w:r w:rsidR="00453FAD">
        <w:rPr>
          <w:lang w:val="en-US"/>
        </w:rPr>
        <w:t xml:space="preserve"> dated March 27, 2012, 2012/3-4, </w:t>
      </w:r>
      <w:r>
        <w:rPr>
          <w:lang w:val="en-US"/>
        </w:rPr>
        <w:t xml:space="preserve">it has been </w:t>
      </w:r>
      <w:r w:rsidR="00453FAD">
        <w:rPr>
          <w:lang w:val="en-US"/>
        </w:rPr>
        <w:t>decided</w:t>
      </w:r>
      <w:r>
        <w:rPr>
          <w:lang w:val="en-US"/>
        </w:rPr>
        <w:t xml:space="preserve"> that while the contracts of inte</w:t>
      </w:r>
      <w:r w:rsidR="00453FAD">
        <w:rPr>
          <w:lang w:val="en-US"/>
        </w:rPr>
        <w:t>rnational faculty will continue</w:t>
      </w:r>
      <w:r>
        <w:rPr>
          <w:lang w:val="en-US"/>
        </w:rPr>
        <w:t xml:space="preserve"> to be renewed on a yearly basis </w:t>
      </w:r>
      <w:r w:rsidR="00034445">
        <w:rPr>
          <w:lang w:val="en-US"/>
        </w:rPr>
        <w:t>upon</w:t>
      </w:r>
      <w:r>
        <w:rPr>
          <w:lang w:val="en-US"/>
        </w:rPr>
        <w:t xml:space="preserve"> </w:t>
      </w:r>
      <w:r w:rsidR="00034445">
        <w:rPr>
          <w:lang w:val="en-US"/>
        </w:rPr>
        <w:t xml:space="preserve">proposal </w:t>
      </w:r>
      <w:r>
        <w:rPr>
          <w:lang w:val="en-US"/>
        </w:rPr>
        <w:t xml:space="preserve">of the </w:t>
      </w:r>
      <w:r w:rsidR="001C71B8">
        <w:rPr>
          <w:lang w:val="en-US"/>
        </w:rPr>
        <w:t xml:space="preserve">related </w:t>
      </w:r>
      <w:r>
        <w:rPr>
          <w:lang w:val="en-US"/>
        </w:rPr>
        <w:t xml:space="preserve">faculty or graduate </w:t>
      </w:r>
      <w:r w:rsidR="00453FAD">
        <w:rPr>
          <w:lang w:val="en-US"/>
        </w:rPr>
        <w:t>school</w:t>
      </w:r>
      <w:r w:rsidR="00906974">
        <w:rPr>
          <w:lang w:val="en-US"/>
        </w:rPr>
        <w:t xml:space="preserve"> and the decision of the University Administrative Board</w:t>
      </w:r>
      <w:r>
        <w:rPr>
          <w:lang w:val="en-US"/>
        </w:rPr>
        <w:t xml:space="preserve">, international faculty holding </w:t>
      </w:r>
      <w:r w:rsidR="00453FAD">
        <w:rPr>
          <w:lang w:val="en-US"/>
        </w:rPr>
        <w:t>the post of Assistant Professor</w:t>
      </w:r>
      <w:r>
        <w:rPr>
          <w:lang w:val="en-US"/>
        </w:rPr>
        <w:t xml:space="preserve"> will </w:t>
      </w:r>
      <w:r w:rsidR="003A1AF5">
        <w:rPr>
          <w:lang w:val="en-US"/>
        </w:rPr>
        <w:t xml:space="preserve">also </w:t>
      </w:r>
      <w:r>
        <w:rPr>
          <w:lang w:val="en-US"/>
        </w:rPr>
        <w:t>be</w:t>
      </w:r>
      <w:r w:rsidR="00453FAD">
        <w:rPr>
          <w:lang w:val="en-US"/>
        </w:rPr>
        <w:t xml:space="preserve"> </w:t>
      </w:r>
      <w:r w:rsidR="007672EA">
        <w:rPr>
          <w:lang w:val="en-US"/>
        </w:rPr>
        <w:t>assessed</w:t>
      </w:r>
      <w:r w:rsidR="00453FAD">
        <w:rPr>
          <w:lang w:val="en-US"/>
        </w:rPr>
        <w:t xml:space="preserve"> every 2 or 3</w:t>
      </w:r>
      <w:r w:rsidR="003A1AF5">
        <w:rPr>
          <w:lang w:val="en-US"/>
        </w:rPr>
        <w:t xml:space="preserve"> years</w:t>
      </w:r>
      <w:r>
        <w:rPr>
          <w:lang w:val="en-US"/>
        </w:rPr>
        <w:t xml:space="preserve">, based on the “Reappointment to Assistant Professorship” criteria stated in “Criteria for Promotion and </w:t>
      </w:r>
      <w:r w:rsidR="00453FAD">
        <w:rPr>
          <w:lang w:val="en-US"/>
        </w:rPr>
        <w:t>Appointment</w:t>
      </w:r>
      <w:r>
        <w:rPr>
          <w:lang w:val="en-US"/>
        </w:rPr>
        <w:t>”</w:t>
      </w:r>
      <w:r w:rsidR="003A1AF5">
        <w:rPr>
          <w:lang w:val="en-US"/>
        </w:rPr>
        <w:t xml:space="preserve">, which is also in effect for Turkish faculty members. </w:t>
      </w:r>
      <w:r w:rsidR="001C71B8">
        <w:rPr>
          <w:lang w:val="en-US"/>
        </w:rPr>
        <w:t>In this respect</w:t>
      </w:r>
      <w:r>
        <w:rPr>
          <w:lang w:val="en-US"/>
        </w:rPr>
        <w:t>, international faculty holding the po</w:t>
      </w:r>
      <w:r w:rsidR="00453FAD">
        <w:rPr>
          <w:lang w:val="en-US"/>
        </w:rPr>
        <w:t>st of Assistant Professor</w:t>
      </w:r>
      <w:r w:rsidR="005439F2">
        <w:rPr>
          <w:lang w:val="en-US"/>
        </w:rPr>
        <w:t xml:space="preserve"> for at least three years</w:t>
      </w:r>
      <w:r w:rsidR="001C71B8">
        <w:rPr>
          <w:lang w:val="en-US"/>
        </w:rPr>
        <w:t xml:space="preserve"> will be expected to fill out the following form</w:t>
      </w:r>
      <w:r w:rsidR="003A1AF5">
        <w:rPr>
          <w:lang w:val="en-US"/>
        </w:rPr>
        <w:t xml:space="preserve"> </w:t>
      </w:r>
      <w:r w:rsidR="001C71B8">
        <w:rPr>
          <w:lang w:val="en-US"/>
        </w:rPr>
        <w:t>for the renewal of their 2013 contract.</w:t>
      </w:r>
    </w:p>
    <w:p w:rsidR="003A1AF5" w:rsidRPr="003A1AF5" w:rsidRDefault="003A1AF5" w:rsidP="0053610F">
      <w:pPr>
        <w:jc w:val="both"/>
        <w:rPr>
          <w:b/>
          <w:lang w:val="en-US"/>
        </w:rPr>
      </w:pPr>
      <w:r w:rsidRPr="003A1AF5">
        <w:rPr>
          <w:b/>
          <w:lang w:val="en-US"/>
        </w:rPr>
        <w:t>Forms</w:t>
      </w:r>
    </w:p>
    <w:p w:rsidR="003A1AF5" w:rsidRPr="009A3C3E" w:rsidRDefault="009A3C3E" w:rsidP="003A1AF5">
      <w:pPr>
        <w:pStyle w:val="ListeParagraf"/>
        <w:numPr>
          <w:ilvl w:val="0"/>
          <w:numId w:val="3"/>
        </w:numPr>
        <w:jc w:val="both"/>
        <w:rPr>
          <w:rStyle w:val="Kpr"/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HYPERLINK "http://pdb.metu.edu.tr/sites/pdb.metu.edu.tr/files/formlar/YENIDEN_ATAMA_YD_BSE_BOS.doc" </w:instrText>
      </w:r>
      <w:r>
        <w:rPr>
          <w:lang w:val="en-US"/>
        </w:rPr>
      </w:r>
      <w:r>
        <w:rPr>
          <w:lang w:val="en-US"/>
        </w:rPr>
        <w:fldChar w:fldCharType="separate"/>
      </w:r>
      <w:r w:rsidR="00D1626E" w:rsidRPr="009A3C3E">
        <w:rPr>
          <w:rStyle w:val="Kpr"/>
          <w:lang w:val="en-US"/>
        </w:rPr>
        <w:t>Basic Sciences and Engineering</w:t>
      </w:r>
    </w:p>
    <w:p w:rsidR="003A1AF5" w:rsidRDefault="009A3C3E" w:rsidP="003A1AF5">
      <w:pPr>
        <w:pStyle w:val="ListeParagraf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fldChar w:fldCharType="end"/>
      </w:r>
      <w:hyperlink r:id="rId7" w:history="1">
        <w:r w:rsidR="00D1626E" w:rsidRPr="00FB4655">
          <w:rPr>
            <w:rStyle w:val="Kpr"/>
            <w:lang w:val="en-US"/>
          </w:rPr>
          <w:t>Soc</w:t>
        </w:r>
        <w:r w:rsidR="00FB4655" w:rsidRPr="00FB4655">
          <w:rPr>
            <w:rStyle w:val="Kpr"/>
            <w:lang w:val="en-US"/>
          </w:rPr>
          <w:t>ial and Administrative Sciences</w:t>
        </w:r>
      </w:hyperlink>
    </w:p>
    <w:p w:rsidR="00D1626E" w:rsidRDefault="009A3C3E" w:rsidP="003A1AF5">
      <w:pPr>
        <w:pStyle w:val="ListeParagraf"/>
        <w:numPr>
          <w:ilvl w:val="0"/>
          <w:numId w:val="3"/>
        </w:numPr>
        <w:jc w:val="both"/>
        <w:rPr>
          <w:lang w:val="en-US"/>
        </w:rPr>
      </w:pPr>
      <w:hyperlink r:id="rId8" w:history="1">
        <w:r w:rsidR="00D1626E" w:rsidRPr="00FB4655">
          <w:rPr>
            <w:rStyle w:val="Kpr"/>
            <w:lang w:val="en-US"/>
          </w:rPr>
          <w:t>Architecture</w:t>
        </w:r>
      </w:hyperlink>
      <w:bookmarkStart w:id="0" w:name="_GoBack"/>
      <w:bookmarkEnd w:id="0"/>
    </w:p>
    <w:tbl>
      <w:tblPr>
        <w:tblW w:w="5159" w:type="dxa"/>
        <w:tblInd w:w="21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1370"/>
        <w:gridCol w:w="2380"/>
      </w:tblGrid>
      <w:tr w:rsidR="00324CDA" w:rsidRPr="00362D45" w:rsidTr="0053265C">
        <w:trPr>
          <w:trHeight w:val="313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24CDA" w:rsidRPr="00362D45" w:rsidRDefault="00034445" w:rsidP="0053265C">
            <w:pPr>
              <w:spacing w:line="240" w:lineRule="auto"/>
              <w:jc w:val="center"/>
              <w:rPr>
                <w:rFonts w:cs="Arial TUR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 TUR"/>
                <w:b/>
                <w:bCs/>
                <w:sz w:val="20"/>
                <w:szCs w:val="20"/>
                <w:lang w:val="en-US"/>
              </w:rPr>
              <w:t>Assessment</w:t>
            </w:r>
            <w:r w:rsidR="00324CDA">
              <w:rPr>
                <w:rFonts w:cs="Arial TUR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24CDA" w:rsidRPr="00362D45">
              <w:rPr>
                <w:rFonts w:cs="Arial TUR"/>
                <w:b/>
                <w:bCs/>
                <w:sz w:val="20"/>
                <w:szCs w:val="20"/>
                <w:lang w:val="en-US"/>
              </w:rPr>
              <w:t>Period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4CDA" w:rsidRPr="00362D45" w:rsidRDefault="00324CDA" w:rsidP="0053265C">
            <w:pPr>
              <w:jc w:val="center"/>
              <w:rPr>
                <w:rFonts w:cs="Arial TUR"/>
                <w:b/>
                <w:bCs/>
                <w:sz w:val="20"/>
                <w:szCs w:val="20"/>
                <w:lang w:val="en-US"/>
              </w:rPr>
            </w:pPr>
            <w:r w:rsidRPr="00362D45">
              <w:rPr>
                <w:rFonts w:cs="Arial TUR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324CDA" w:rsidRPr="00362D45" w:rsidRDefault="00324CDA" w:rsidP="0053265C">
            <w:pPr>
              <w:spacing w:line="240" w:lineRule="auto"/>
              <w:jc w:val="center"/>
              <w:rPr>
                <w:rFonts w:cs="Arial TUR"/>
                <w:b/>
                <w:bCs/>
                <w:sz w:val="20"/>
                <w:szCs w:val="20"/>
                <w:lang w:val="en-US"/>
              </w:rPr>
            </w:pPr>
            <w:r w:rsidRPr="00362D45">
              <w:rPr>
                <w:rFonts w:cs="Arial TUR"/>
                <w:b/>
                <w:bCs/>
                <w:sz w:val="20"/>
                <w:szCs w:val="20"/>
                <w:lang w:val="en-US"/>
              </w:rPr>
              <w:t>Minimum publication points</w:t>
            </w:r>
          </w:p>
        </w:tc>
      </w:tr>
      <w:tr w:rsidR="00324CDA" w:rsidRPr="00362D45" w:rsidTr="0053265C">
        <w:trPr>
          <w:trHeight w:val="481"/>
        </w:trPr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4CDA" w:rsidRPr="00362D45" w:rsidRDefault="00324CDA" w:rsidP="0053265C">
            <w:pPr>
              <w:rPr>
                <w:rFonts w:cs="Arial TUR"/>
                <w:sz w:val="20"/>
                <w:szCs w:val="20"/>
                <w:lang w:val="en-US"/>
              </w:rPr>
            </w:pPr>
            <w:r w:rsidRPr="00362D45">
              <w:rPr>
                <w:rFonts w:cs="Arial TUR"/>
                <w:sz w:val="20"/>
                <w:szCs w:val="20"/>
                <w:lang w:val="en-US"/>
              </w:rPr>
              <w:t xml:space="preserve">First </w:t>
            </w:r>
            <w:r w:rsidR="00034445" w:rsidRPr="00034445">
              <w:rPr>
                <w:rFonts w:cs="Arial TUR"/>
                <w:bCs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CDA" w:rsidRPr="00362D45" w:rsidRDefault="00324CDA" w:rsidP="0053265C">
            <w:pPr>
              <w:jc w:val="center"/>
              <w:rPr>
                <w:rFonts w:cs="Arial TUR"/>
                <w:sz w:val="20"/>
                <w:szCs w:val="20"/>
                <w:lang w:val="en-US"/>
              </w:rPr>
            </w:pPr>
            <w:r w:rsidRPr="00362D45">
              <w:rPr>
                <w:rFonts w:cs="Arial TUR"/>
                <w:sz w:val="20"/>
                <w:szCs w:val="20"/>
                <w:lang w:val="en-US"/>
              </w:rPr>
              <w:t xml:space="preserve">0.3 P </w:t>
            </w:r>
          </w:p>
        </w:tc>
      </w:tr>
      <w:tr w:rsidR="00324CDA" w:rsidRPr="00362D45" w:rsidTr="0053265C">
        <w:trPr>
          <w:trHeight w:val="615"/>
        </w:trPr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CDA" w:rsidRPr="00362D45" w:rsidRDefault="00324CDA" w:rsidP="0053265C">
            <w:pPr>
              <w:rPr>
                <w:rFonts w:cs="Arial TUR"/>
                <w:sz w:val="20"/>
                <w:szCs w:val="20"/>
                <w:lang w:val="en-US"/>
              </w:rPr>
            </w:pPr>
            <w:r w:rsidRPr="00362D45">
              <w:rPr>
                <w:rFonts w:cs="Arial TUR"/>
                <w:sz w:val="20"/>
                <w:szCs w:val="20"/>
                <w:lang w:val="en-US"/>
              </w:rPr>
              <w:t xml:space="preserve">Second </w:t>
            </w:r>
            <w:r w:rsidR="00034445" w:rsidRPr="00034445">
              <w:rPr>
                <w:rFonts w:cs="Arial TUR"/>
                <w:bCs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CDA" w:rsidRPr="00362D45" w:rsidRDefault="00324CDA" w:rsidP="0053265C">
            <w:pPr>
              <w:rPr>
                <w:rFonts w:cs="Arial TUR"/>
                <w:sz w:val="20"/>
                <w:szCs w:val="20"/>
                <w:lang w:val="en-US"/>
              </w:rPr>
            </w:pPr>
            <w:r>
              <w:rPr>
                <w:rFonts w:cs="Arial TUR"/>
                <w:sz w:val="20"/>
                <w:szCs w:val="20"/>
                <w:lang w:val="en-US"/>
              </w:rPr>
              <w:t xml:space="preserve">3 years after </w:t>
            </w:r>
            <w:r w:rsidR="00034445" w:rsidRPr="00034445">
              <w:rPr>
                <w:rFonts w:cs="Arial TUR"/>
                <w:bCs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CDA" w:rsidRPr="00362D45" w:rsidRDefault="00324CDA" w:rsidP="0053265C">
            <w:pPr>
              <w:jc w:val="center"/>
              <w:rPr>
                <w:rFonts w:cs="Arial TUR"/>
                <w:sz w:val="20"/>
                <w:szCs w:val="20"/>
                <w:lang w:val="en-US"/>
              </w:rPr>
            </w:pPr>
            <w:r w:rsidRPr="00362D45">
              <w:rPr>
                <w:rFonts w:cs="Arial TUR"/>
                <w:sz w:val="20"/>
                <w:szCs w:val="20"/>
                <w:lang w:val="en-US"/>
              </w:rPr>
              <w:t>0.6 P</w:t>
            </w:r>
          </w:p>
        </w:tc>
      </w:tr>
      <w:tr w:rsidR="00324CDA" w:rsidRPr="00362D45" w:rsidTr="0053265C">
        <w:trPr>
          <w:trHeight w:val="630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4CDA" w:rsidRPr="00362D45" w:rsidRDefault="00324CDA" w:rsidP="0053265C">
            <w:pPr>
              <w:rPr>
                <w:rFonts w:cs="Arial TUR"/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4CDA" w:rsidRPr="00362D45" w:rsidRDefault="00324CDA" w:rsidP="0053265C">
            <w:pPr>
              <w:rPr>
                <w:rFonts w:cs="Arial TUR"/>
                <w:sz w:val="20"/>
                <w:szCs w:val="20"/>
                <w:lang w:val="en-US"/>
              </w:rPr>
            </w:pPr>
            <w:r>
              <w:rPr>
                <w:rFonts w:cs="Arial TUR"/>
                <w:sz w:val="20"/>
                <w:szCs w:val="20"/>
                <w:lang w:val="en-US"/>
              </w:rPr>
              <w:t xml:space="preserve">2 years after </w:t>
            </w:r>
            <w:r w:rsidR="00034445" w:rsidRPr="00034445">
              <w:rPr>
                <w:rFonts w:cs="Arial TUR"/>
                <w:bCs/>
                <w:sz w:val="20"/>
                <w:szCs w:val="20"/>
                <w:lang w:val="en-US"/>
              </w:rPr>
              <w:t>Assessment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CDA" w:rsidRPr="00362D45" w:rsidRDefault="00324CDA" w:rsidP="0053265C">
            <w:pPr>
              <w:jc w:val="center"/>
              <w:rPr>
                <w:rFonts w:cs="Arial TUR"/>
                <w:sz w:val="20"/>
                <w:szCs w:val="20"/>
                <w:lang w:val="en-US"/>
              </w:rPr>
            </w:pPr>
            <w:r w:rsidRPr="00362D45">
              <w:rPr>
                <w:rFonts w:cs="Arial TUR"/>
                <w:sz w:val="20"/>
                <w:szCs w:val="20"/>
                <w:lang w:val="en-US"/>
              </w:rPr>
              <w:t>0.5 P</w:t>
            </w:r>
          </w:p>
        </w:tc>
      </w:tr>
    </w:tbl>
    <w:p w:rsidR="00324CDA" w:rsidRPr="00362D45" w:rsidRDefault="00023F20" w:rsidP="00324CDA">
      <w:pPr>
        <w:ind w:left="720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(P= </w:t>
      </w:r>
      <w:proofErr w:type="gramStart"/>
      <w:r w:rsidR="00324CDA">
        <w:rPr>
          <w:rFonts w:cs="Arial"/>
          <w:sz w:val="20"/>
          <w:szCs w:val="20"/>
          <w:lang w:val="en-US"/>
        </w:rPr>
        <w:t>The</w:t>
      </w:r>
      <w:proofErr w:type="gramEnd"/>
      <w:r w:rsidR="00324CDA">
        <w:rPr>
          <w:rFonts w:cs="Arial"/>
          <w:sz w:val="20"/>
          <w:szCs w:val="20"/>
          <w:lang w:val="en-US"/>
        </w:rPr>
        <w:t xml:space="preserve"> department average publication points required for promotion to the position of Associate Professor in that specific department</w:t>
      </w:r>
      <w:r w:rsidR="00324CDA" w:rsidRPr="00362D45">
        <w:rPr>
          <w:rFonts w:cs="Arial"/>
          <w:sz w:val="20"/>
          <w:szCs w:val="20"/>
          <w:lang w:val="en-US"/>
        </w:rPr>
        <w:t>)</w:t>
      </w:r>
    </w:p>
    <w:p w:rsidR="00324CDA" w:rsidRPr="00362D45" w:rsidRDefault="00324CDA" w:rsidP="00324CDA">
      <w:pPr>
        <w:rPr>
          <w:b/>
          <w:u w:val="single"/>
          <w:lang w:val="en-US"/>
        </w:rPr>
      </w:pPr>
      <w:r w:rsidRPr="00362D45">
        <w:rPr>
          <w:b/>
          <w:u w:val="single"/>
          <w:lang w:val="en-US"/>
        </w:rPr>
        <w:t>NOTES:</w:t>
      </w:r>
    </w:p>
    <w:p w:rsidR="00CE6391" w:rsidRDefault="007672EA" w:rsidP="00CE6391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rPr>
          <w:lang w:val="en-US"/>
        </w:rPr>
      </w:pPr>
      <w:r w:rsidRPr="007672EA">
        <w:rPr>
          <w:lang w:val="en-US"/>
        </w:rPr>
        <w:t>Assessment</w:t>
      </w:r>
      <w:r w:rsidR="00CE6391" w:rsidRPr="00F136BC">
        <w:rPr>
          <w:lang w:val="en-US"/>
        </w:rPr>
        <w:t xml:space="preserve"> is based on the total number of points obtained as assistant professor. The values in the table show the minimum cumulative points that need to be obtained. </w:t>
      </w:r>
    </w:p>
    <w:p w:rsidR="00CE6391" w:rsidRPr="00F136BC" w:rsidRDefault="00CE6391" w:rsidP="00CE6391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rPr>
          <w:lang w:val="en-US"/>
        </w:rPr>
      </w:pPr>
      <w:r w:rsidRPr="00F136BC">
        <w:rPr>
          <w:lang w:val="en-US"/>
        </w:rPr>
        <w:t xml:space="preserve">In addition to his/her points in the table, the candidate’s teaching performance will also be </w:t>
      </w:r>
      <w:r w:rsidR="007672EA">
        <w:rPr>
          <w:lang w:val="en-US"/>
        </w:rPr>
        <w:t>assessed</w:t>
      </w:r>
      <w:r w:rsidRPr="00F136BC">
        <w:rPr>
          <w:lang w:val="en-US"/>
        </w:rPr>
        <w:t>.</w:t>
      </w:r>
    </w:p>
    <w:p w:rsidR="00CE6391" w:rsidRDefault="005439F2" w:rsidP="00CE6391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lang w:val="en-US"/>
        </w:rPr>
      </w:pPr>
      <w:r>
        <w:rPr>
          <w:lang w:val="en-US"/>
        </w:rPr>
        <w:t xml:space="preserve">After </w:t>
      </w:r>
      <w:r w:rsidR="007672EA" w:rsidRPr="007672EA">
        <w:rPr>
          <w:lang w:val="en-US"/>
        </w:rPr>
        <w:t>Assessment</w:t>
      </w:r>
      <w:r>
        <w:rPr>
          <w:lang w:val="en-US"/>
        </w:rPr>
        <w:t>, if the minimum points are met, contracts</w:t>
      </w:r>
      <w:r w:rsidR="00CE6391" w:rsidRPr="00F136BC">
        <w:rPr>
          <w:lang w:val="en-US"/>
        </w:rPr>
        <w:t xml:space="preserve"> will </w:t>
      </w:r>
      <w:r w:rsidR="00CE6391">
        <w:rPr>
          <w:lang w:val="en-US"/>
        </w:rPr>
        <w:t xml:space="preserve">continue to </w:t>
      </w:r>
      <w:r w:rsidR="00CE6391" w:rsidRPr="00F136BC">
        <w:rPr>
          <w:lang w:val="en-US"/>
        </w:rPr>
        <w:t xml:space="preserve">be </w:t>
      </w:r>
      <w:r>
        <w:rPr>
          <w:lang w:val="en-US"/>
        </w:rPr>
        <w:t xml:space="preserve">renewed </w:t>
      </w:r>
      <w:r w:rsidR="004E3412">
        <w:rPr>
          <w:lang w:val="en-US"/>
        </w:rPr>
        <w:t xml:space="preserve">on annual basis </w:t>
      </w:r>
      <w:r w:rsidR="007672EA">
        <w:rPr>
          <w:lang w:val="en-US"/>
        </w:rPr>
        <w:t>upon</w:t>
      </w:r>
      <w:r w:rsidR="00CE6391">
        <w:rPr>
          <w:lang w:val="en-US"/>
        </w:rPr>
        <w:t xml:space="preserve"> the </w:t>
      </w:r>
      <w:r w:rsidR="007672EA">
        <w:rPr>
          <w:lang w:val="en-US"/>
        </w:rPr>
        <w:t>proposal</w:t>
      </w:r>
      <w:r w:rsidR="00957CA8">
        <w:rPr>
          <w:lang w:val="en-US"/>
        </w:rPr>
        <w:t xml:space="preserve"> </w:t>
      </w:r>
      <w:r w:rsidR="00CE6391">
        <w:rPr>
          <w:lang w:val="en-US"/>
        </w:rPr>
        <w:t xml:space="preserve">of the related faculty or graduate school and </w:t>
      </w:r>
      <w:r w:rsidR="00CE6391" w:rsidRPr="00F136BC">
        <w:rPr>
          <w:lang w:val="en-US"/>
        </w:rPr>
        <w:t>the Univer</w:t>
      </w:r>
      <w:r>
        <w:rPr>
          <w:lang w:val="en-US"/>
        </w:rPr>
        <w:t>sity Executive Board’s decision</w:t>
      </w:r>
      <w:r w:rsidR="00023F20">
        <w:rPr>
          <w:lang w:val="en-US"/>
        </w:rPr>
        <w:t xml:space="preserve">. The next </w:t>
      </w:r>
      <w:r w:rsidR="007672EA">
        <w:rPr>
          <w:lang w:val="en-US"/>
        </w:rPr>
        <w:t>a</w:t>
      </w:r>
      <w:r w:rsidR="007672EA" w:rsidRPr="007672EA">
        <w:rPr>
          <w:lang w:val="en-US"/>
        </w:rPr>
        <w:t>ssessment</w:t>
      </w:r>
      <w:r w:rsidR="00023F20">
        <w:rPr>
          <w:lang w:val="en-US"/>
        </w:rPr>
        <w:t xml:space="preserve"> will be made after three years.</w:t>
      </w:r>
    </w:p>
    <w:p w:rsidR="000D7078" w:rsidRPr="002D11E6" w:rsidRDefault="000D7078" w:rsidP="002D11E6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lang w:val="en-US"/>
        </w:rPr>
      </w:pPr>
      <w:r w:rsidRPr="00F136BC">
        <w:rPr>
          <w:lang w:val="en-US"/>
        </w:rPr>
        <w:t xml:space="preserve">If minimum points are not met, </w:t>
      </w:r>
      <w:r>
        <w:rPr>
          <w:lang w:val="en-US"/>
        </w:rPr>
        <w:t>the contract</w:t>
      </w:r>
      <w:r w:rsidRPr="00F136BC">
        <w:rPr>
          <w:lang w:val="en-US"/>
        </w:rPr>
        <w:t xml:space="preserve"> </w:t>
      </w:r>
      <w:r>
        <w:rPr>
          <w:lang w:val="en-US"/>
        </w:rPr>
        <w:t xml:space="preserve">may still </w:t>
      </w:r>
      <w:r w:rsidRPr="00F136BC">
        <w:rPr>
          <w:lang w:val="en-US"/>
        </w:rPr>
        <w:t xml:space="preserve">be </w:t>
      </w:r>
      <w:r>
        <w:rPr>
          <w:lang w:val="en-US"/>
        </w:rPr>
        <w:t>renewed</w:t>
      </w:r>
      <w:r w:rsidRPr="00F136BC">
        <w:rPr>
          <w:lang w:val="en-US"/>
        </w:rPr>
        <w:t xml:space="preserve"> </w:t>
      </w:r>
      <w:r>
        <w:rPr>
          <w:lang w:val="en-US"/>
        </w:rPr>
        <w:t xml:space="preserve">upon the </w:t>
      </w:r>
      <w:r w:rsidR="002D11E6">
        <w:rPr>
          <w:lang w:val="en-US"/>
        </w:rPr>
        <w:t>request</w:t>
      </w:r>
      <w:r>
        <w:rPr>
          <w:lang w:val="en-US"/>
        </w:rPr>
        <w:t xml:space="preserve"> of the related faculty or graduate school and the decision of the University Administrative Board</w:t>
      </w:r>
      <w:r w:rsidR="002D11E6">
        <w:rPr>
          <w:lang w:val="en-US"/>
        </w:rPr>
        <w:t>. However, then</w:t>
      </w:r>
      <w:r w:rsidR="00F0783C">
        <w:rPr>
          <w:lang w:val="en-US"/>
        </w:rPr>
        <w:t xml:space="preserve"> the</w:t>
      </w:r>
      <w:r w:rsidR="002D11E6">
        <w:rPr>
          <w:lang w:val="en-US"/>
        </w:rPr>
        <w:t xml:space="preserve"> re-</w:t>
      </w:r>
      <w:r w:rsidR="007672EA" w:rsidRPr="007672EA">
        <w:rPr>
          <w:lang w:val="en-US"/>
        </w:rPr>
        <w:t xml:space="preserve"> </w:t>
      </w:r>
      <w:r w:rsidR="007672EA">
        <w:rPr>
          <w:lang w:val="en-US"/>
        </w:rPr>
        <w:t>a</w:t>
      </w:r>
      <w:r w:rsidR="007672EA" w:rsidRPr="007672EA">
        <w:rPr>
          <w:lang w:val="en-US"/>
        </w:rPr>
        <w:t>ssessment</w:t>
      </w:r>
      <w:r w:rsidR="002D11E6">
        <w:rPr>
          <w:lang w:val="en-US"/>
        </w:rPr>
        <w:t xml:space="preserve"> should be made after two years, rather than three years </w:t>
      </w:r>
      <w:r w:rsidRPr="002D11E6">
        <w:rPr>
          <w:lang w:val="en-US"/>
        </w:rPr>
        <w:t xml:space="preserve">in order to observe the candidate’s progress. </w:t>
      </w:r>
    </w:p>
    <w:p w:rsidR="00CE6391" w:rsidRPr="00362D45" w:rsidRDefault="00CE6391" w:rsidP="00CE6391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lang w:val="en-US"/>
        </w:rPr>
      </w:pPr>
      <w:r>
        <w:rPr>
          <w:lang w:val="en-US"/>
        </w:rPr>
        <w:t>For a</w:t>
      </w:r>
      <w:r w:rsidRPr="00F136BC">
        <w:rPr>
          <w:lang w:val="en-US"/>
        </w:rPr>
        <w:t xml:space="preserve">ll </w:t>
      </w:r>
      <w:r w:rsidR="00721063" w:rsidRPr="008D4AC2">
        <w:rPr>
          <w:lang w:val="en-US"/>
        </w:rPr>
        <w:t>assessment</w:t>
      </w:r>
      <w:r w:rsidR="00957CA8" w:rsidRPr="008D4AC2">
        <w:rPr>
          <w:lang w:val="en-US"/>
        </w:rPr>
        <w:t>s</w:t>
      </w:r>
      <w:r w:rsidRPr="00F136BC">
        <w:rPr>
          <w:lang w:val="en-US"/>
        </w:rPr>
        <w:t xml:space="preserve"> after the second </w:t>
      </w:r>
      <w:r w:rsidR="007672EA">
        <w:rPr>
          <w:lang w:val="en-US"/>
        </w:rPr>
        <w:t>a</w:t>
      </w:r>
      <w:r w:rsidR="007672EA" w:rsidRPr="007672EA">
        <w:rPr>
          <w:lang w:val="en-US"/>
        </w:rPr>
        <w:t>ssessment</w:t>
      </w:r>
      <w:r>
        <w:rPr>
          <w:lang w:val="en-US"/>
        </w:rPr>
        <w:t xml:space="preserve">, activities of the last </w:t>
      </w:r>
      <w:r w:rsidR="007672EA">
        <w:rPr>
          <w:lang w:val="en-US"/>
        </w:rPr>
        <w:t>a</w:t>
      </w:r>
      <w:r w:rsidR="007672EA" w:rsidRPr="007672EA">
        <w:rPr>
          <w:lang w:val="en-US"/>
        </w:rPr>
        <w:t>ssessment</w:t>
      </w:r>
      <w:r>
        <w:rPr>
          <w:lang w:val="en-US"/>
        </w:rPr>
        <w:t xml:space="preserve"> period will be taken into account.</w:t>
      </w:r>
      <w:r w:rsidRPr="00F136BC">
        <w:rPr>
          <w:lang w:val="en-US"/>
        </w:rPr>
        <w:t xml:space="preserve"> </w:t>
      </w:r>
    </w:p>
    <w:p w:rsidR="00F132B5" w:rsidRPr="00C4251C" w:rsidRDefault="00F132B5" w:rsidP="00C4251C">
      <w:pPr>
        <w:rPr>
          <w:lang w:val="en-US"/>
        </w:rPr>
      </w:pPr>
    </w:p>
    <w:sectPr w:rsidR="00F132B5" w:rsidRPr="00C42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EFF"/>
    <w:multiLevelType w:val="hybridMultilevel"/>
    <w:tmpl w:val="D9DC4CD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C84CBD"/>
    <w:multiLevelType w:val="hybridMultilevel"/>
    <w:tmpl w:val="553A2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D7338"/>
    <w:multiLevelType w:val="hybridMultilevel"/>
    <w:tmpl w:val="9BE639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19"/>
    <w:rsid w:val="00023F20"/>
    <w:rsid w:val="00034445"/>
    <w:rsid w:val="000934C1"/>
    <w:rsid w:val="000D7078"/>
    <w:rsid w:val="001C71B8"/>
    <w:rsid w:val="001D2850"/>
    <w:rsid w:val="001F0E1E"/>
    <w:rsid w:val="002D11E6"/>
    <w:rsid w:val="00301CF3"/>
    <w:rsid w:val="00324CDA"/>
    <w:rsid w:val="003A1AF5"/>
    <w:rsid w:val="003C0B65"/>
    <w:rsid w:val="003F0E19"/>
    <w:rsid w:val="00453FAD"/>
    <w:rsid w:val="004E3412"/>
    <w:rsid w:val="0053610F"/>
    <w:rsid w:val="005426B8"/>
    <w:rsid w:val="005439F2"/>
    <w:rsid w:val="005B115A"/>
    <w:rsid w:val="00604741"/>
    <w:rsid w:val="00621EC8"/>
    <w:rsid w:val="00635046"/>
    <w:rsid w:val="00691D60"/>
    <w:rsid w:val="006C29D8"/>
    <w:rsid w:val="00721063"/>
    <w:rsid w:val="007672EA"/>
    <w:rsid w:val="00782C65"/>
    <w:rsid w:val="007E37D1"/>
    <w:rsid w:val="00865F0B"/>
    <w:rsid w:val="008D4AC2"/>
    <w:rsid w:val="00906974"/>
    <w:rsid w:val="00957CA8"/>
    <w:rsid w:val="0098376C"/>
    <w:rsid w:val="009A3AC6"/>
    <w:rsid w:val="009A3C3E"/>
    <w:rsid w:val="009D286E"/>
    <w:rsid w:val="00A56EED"/>
    <w:rsid w:val="00B30E6A"/>
    <w:rsid w:val="00C07274"/>
    <w:rsid w:val="00C4251C"/>
    <w:rsid w:val="00CB4683"/>
    <w:rsid w:val="00CE6391"/>
    <w:rsid w:val="00D1626E"/>
    <w:rsid w:val="00EE7E27"/>
    <w:rsid w:val="00F0783C"/>
    <w:rsid w:val="00F132B5"/>
    <w:rsid w:val="00F578EF"/>
    <w:rsid w:val="00F76CA5"/>
    <w:rsid w:val="00F8571B"/>
    <w:rsid w:val="00F96251"/>
    <w:rsid w:val="00FB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65F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qFormat/>
    <w:rsid w:val="00865F0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57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578EF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578E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132B5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65F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rsid w:val="00865F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865F0B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6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65F0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qFormat/>
    <w:rsid w:val="00865F0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57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578EF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578E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132B5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65F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rsid w:val="00865F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865F0B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6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b.metu.edu.tr/sites/pdb.metu.edu.tr/files/formlar/YENIDEN_ATAMA_YD_ARCH_BOS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pdb.metu.edu.tr/sites/pdb.metu.edu.tr/files/formlar/YENIDEN_ATAMA_YD_SAS_BOS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774C-139C-4868-B17D-FBA5DB8C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Yelda</dc:creator>
  <cp:lastModifiedBy>emre</cp:lastModifiedBy>
  <cp:revision>3</cp:revision>
  <cp:lastPrinted>2012-04-10T11:18:00Z</cp:lastPrinted>
  <dcterms:created xsi:type="dcterms:W3CDTF">2013-02-26T11:52:00Z</dcterms:created>
  <dcterms:modified xsi:type="dcterms:W3CDTF">2013-02-26T11:56:00Z</dcterms:modified>
</cp:coreProperties>
</file>